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SchRegO</w:t>
      </w:r>
    </w:p>
    <w:p>
      <w:r>
        <w:rPr>
          <w:color w:val="555555"/>
          <w:sz w:val="18"/>
        </w:rPr>
        <w:t xml:space="preserve">Schiffsregisterordnung</w:t>
      </w:r>
    </w:p>
    <w:p>
      <w:r>
        <w:rPr>
          <w:color w:val="555555"/>
          <w:sz w:val="18"/>
        </w:rPr>
        <w:t xml:space="preserve">Stand: 01.01.2024 (konsolidierte Textfassung, kein amtliches Inkrafttretensdatum)</w:t>
      </w:r>
    </w:p>
    <w:p>
      <w:r>
        <w:t xml:space="preserve">Kann eine Tatsache durch das Zeugnis des das Schiffsregister führenden Amtsgerichts über den Inhalt anderer Register oder Akten oder durch Urkunden nachgewiesen werden, die von dem Gericht aufgenommen worden sind oder bei ihm verwahrt werden, so genügt statt der Vorlegung des Zeugnisses oder der Urkunde die Bezugnahme auf das Register oder die Akten. Für den Nachweis rechtserheblicher Umstände, die sich aus Eintragungen im Handels-, Genossenschafts-, Gesellschafts-, Partnerschafts- oder Vereinsregister ergeben, gilt § 32 der Grundbuchordnung.</w:t>
      </w:r>
    </w:p>
    <w:p>
      <w:r>
        <w:rPr>
          <w:color w:val="555555"/>
          <w:sz w:val="17"/>
        </w:rPr>
        <w:t xml:space="preserve">Zitiervorschlag: § 44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