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SchRegO</w:t>
      </w:r>
    </w:p>
    <w:p>
      <w:r>
        <w:rPr>
          <w:color w:val="555555"/>
          <w:sz w:val="18"/>
        </w:rPr>
        <w:t xml:space="preserve">Schiffsregisterordnung</w:t>
      </w:r>
    </w:p>
    <w:p>
      <w:r>
        <w:rPr>
          <w:color w:val="555555"/>
          <w:sz w:val="18"/>
        </w:rPr>
        <w:t xml:space="preserve">Stand: 10.06.2019 (konsolidierte Textfassung, kein amtliches Inkrafttretensdatum)</w:t>
      </w:r>
    </w:p>
    <w:p>
      <w:r>
        <w:t xml:space="preserve">(1) Soll bei einem Schiff oder bei einer Schiffshypothek, die zu einem Nachlaß gehören, einer von mehreren Erben als Eigentümer oder neuer Gläubiger eingetragen werden, so genügt zum Nachweis der Erbfolge und der zur Eintragung des Rechtsübergangs erforderlichen Erklärungen der Beteiligten ein Zeugnis des Nachlaßgerichts.</w:t>
      </w:r>
    </w:p>
    <w:p>
      <w:r>
        <w:t xml:space="preserve">(2) Das Zeugnis darf nur ausgestellt werden, wenn die Voraussetzungen für die Erteilung eines Erbscheins vorliegen und die Erklärungen der Erben vor dem Nachlaßgericht zur Niederschrift des Richters abgegeben oder ihm durch öffentliche oder öffentlich beglaubigte Urkunden nachgewiesen sind.</w:t>
      </w:r>
    </w:p>
    <w:p>
      <w:r>
        <w:t xml:space="preserve">(3) Die Vorschriften der Absätze 1, 2 gelten sinngemäß, wenn bei einem Schiff oder bei einer Schiffshypothek, die zum Gesamtgut einer ehelichen oder einer fortgesetzten Gütergemeinschaft gehören, einer der Beteiligten als Eigentümer oder Gläubiger eingetragen werden soll.</w:t>
      </w:r>
    </w:p>
    <w:p>
      <w:r>
        <w:rPr>
          <w:color w:val="555555"/>
          <w:sz w:val="17"/>
        </w:rPr>
        <w:t xml:space="preserve">Zitiervorschlag: § 42 SchRegO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https://recht.nulegal.eu/gesetze/SchRegO/42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