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(1) Eine Eintragung soll nur vorgenommen werden, wenn die Eintragungsbewilligung oder die sonstigen zu der Eintragung erforderlichen Erklärungen durch öffentliche oder öffentlich beglaubigte Urkunden nachgewiesen werden. Andere Voraussetzungen der Eintragung bedürfen, soweit sie nicht bei dem Registergericht offenkundig sind, des Nachweises durch öffentliche Urkunden; kann der Nachweis in dieser Form nicht oder nur mit unverhältnismäßigen Schwierigkeiten geführt werden, so kann das Registergericht einen anderen Nachweis für ausreichend erachten, wenn durch ihn die Tatsache für das Gericht außer Zweifel gestellt ist.</w:t>
      </w:r>
    </w:p>
    <w:p>
      <w:r>
        <w:t xml:space="preserve">(2) (aufgehoben)</w:t>
      </w:r>
    </w:p>
    <w:p>
      <w:r>
        <w:t xml:space="preserve">(3) Erklärungen und Ersuchen einer Behörde, auf Grund deren eine Eintragung vorgenommen werden soll, sind zu unterschreiben und mit Siegel oder Stempel zu versehen. Anstelle der Siegelung kann maschinell ein Abdruck des Dienstsiegels eingedruckt oder aufgedruckt werden.</w:t>
      </w:r>
    </w:p>
    <w:p>
      <w:r>
        <w:rPr>
          <w:color w:val="555555"/>
          <w:sz w:val="17"/>
        </w:rPr>
        <w:t xml:space="preserve">Zitiervorschlag: § 37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