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Berichtigung des Schiffregisters bedarf es der Bewilligung nach § 29 nicht, wenn die Unrichtigkeit nachgewiesen wird. Dies gilt insbesondere für die Eintragung oder Löschung einer Verfügungsbeschränkung.</w:t>
      </w:r>
    </w:p>
    <w:p>
      <w:r>
        <w:t xml:space="preserve">(2) Ein neuer Eigentümer darf im Wege der Berichtigung des Schiffsregisters auf Grund einer Bewilligung nach § 29 nur mit seiner Zustimmung eingetragen werden, sofern nicht der Fall des § 24 vorliegt.</w:t>
      </w:r>
    </w:p>
    <w:p>
      <w:r>
        <w:rPr>
          <w:color w:val="555555"/>
          <w:sz w:val="17"/>
        </w:rPr>
        <w:t xml:space="preserve">Zitiervorschlag: § 31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