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Seeschiffsregister und Binnenschiffsregister werden getrennt geführt.</w:t>
      </w:r>
    </w:p>
    <w:p>
      <w:r>
        <w:t xml:space="preserve">(2) In das Seeschiffsregister werden die Kauffahrteischiffe und andere zur Seefahrt bestimmten Schiffe (Seeschiffe) eingetragen, die nach § 1 oder § 2 des Flaggenrechtsgesetzes die Bundesflagge zu führen haben oder führen dürfen.</w:t>
      </w:r>
    </w:p>
    <w:p>
      <w:r>
        <w:t xml:space="preserve">(3) In das Binnenschiffsregister werden die zur Schiffahrt auf Flüssen und sonstigen Binnengewässern bestimmten Schiffe (Binnenschiffe) eingetragen. Eingetragen werden können</w:t>
      </w:r>
    </w:p>
    <w:p>
      <w:pPr>
        <w:ind w:left="420"/>
      </w:pPr>
      <w:r>
        <w:t xml:space="preserve">1. Schiffe, die zur Beförderung von Gütern bestimmt sind, wenn ihre größte Tragfähigkeit mindestens 10 Tonnen beträgt,</w:t>
      </w:r>
    </w:p>
    <w:p>
      <w:pPr>
        <w:ind w:left="420"/>
      </w:pPr>
      <w:r>
        <w:t xml:space="preserve">2. Schiffe, die nicht zur Beförderung von Gütern bestimmt sind, wenn ihre Wasserverdrängung bei größter Eintauchung mindestens 5 Kubikmeter beträgt, sowie</w:t>
      </w:r>
    </w:p>
    <w:p>
      <w:pPr>
        <w:ind w:left="420"/>
      </w:pPr>
      <w:r>
        <w:t xml:space="preserve">3. Schlepper, Tankschiffe und Schubboote.</w:t>
      </w:r>
    </w:p>
    <w:p>
      <w:r>
        <w:rPr>
          <w:color w:val="555555"/>
          <w:sz w:val="17"/>
        </w:rPr>
        <w:t xml:space="preserve">Zitiervorschlag: § 3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