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Steht einer beantragten Eintragung ein Hindernis entgegen, so hat das Registergericht dem Antragsteller eine angemessene Frist zur Behebung des Hindernisses zu bestimmen oder den Antrag unter Angabe der Gründe zurückzuweisen. Im ersten Fall ist der Antrag nach dem Ablauf der Frist zurückzuweisen, wenn nicht das Hindernis inzwischen behoben und dies dem Registergericht nachgewiesen ist.</w:t>
      </w:r>
    </w:p>
    <w:p>
      <w:r>
        <w:t xml:space="preserve">(2) Wird vor der Erledigung des Antrags eine andere Eintragung beantragt, durch die dasselbe Recht betroffen wird, so ist zugunsten des früher gestellten Antrags von Amts wegen ein Schutzvermerk einzutragen; die Eintragung des Schutzvermerks gilt im Sinne des § 27 als Erledigung dieses Antrags. Der Schutzvermerk wird von Amts wegen gelöscht, wenn der früher gestellte Antrag zurückgenommen oder zurückgewiesen wird.</w:t>
      </w:r>
    </w:p>
    <w:p>
      <w:r>
        <w:rPr>
          <w:color w:val="555555"/>
          <w:sz w:val="17"/>
        </w:rPr>
        <w:t xml:space="preserve">Zitiervorschlag: § 28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