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Einen Eintragungsantrag, dessen Erledigung an einen Vorbehalt geknüpft wird, soll nicht stattgegeben werden.</w:t>
      </w:r>
    </w:p>
    <w:p>
      <w:r>
        <w:t xml:space="preserve">(2) Werden mehrere Eintragungen beantragt, so kann von dem Antragsteller bestimmt werden, daß die eine Eintragung nicht ohne die andere erfolgen soll.</w:t>
      </w:r>
    </w:p>
    <w:p>
      <w:r>
        <w:rPr>
          <w:color w:val="555555"/>
          <w:sz w:val="17"/>
        </w:rPr>
        <w:t xml:space="preserve">Zitiervorschlag: § 26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