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(1) Im Schiffsregister soll eine Eintragung nur auf Antrag erfolgen, soweit nicht etwas anderes vorgeschrieben ist. Der Zeitpunkt, in dem der Antrag beim Registergericht eingeht, soll auf dem Antrag genau vermerkt werden. Der Antrag ist beim Registergericht eingegangen, wenn er einem zur Entgegennahme zuständigen Beamten vorgelegt ist. Wird er zur Niederschrift eines solchen Beamten gestellt, so ist er mit Abschluß der Niederschrift eingegangen.</w:t>
      </w:r>
    </w:p>
    <w:p>
      <w:r>
        <w:t xml:space="preserve">(2) Antragsberechtigt ist jeder, dessen Recht von der Eintragung betroffen wird oder zu dessen Gunsten die Eintragung erfolgen soll.</w:t>
      </w:r>
    </w:p>
    <w:p>
      <w:r>
        <w:rPr>
          <w:color w:val="555555"/>
          <w:sz w:val="17"/>
        </w:rPr>
        <w:t xml:space="preserve">Zitiervorschlag: § 23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