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(1) Für die Entgegennahme eines auf eine Eintragung gerichteten Antrags oder Ersuchens und die Beurkundung des Zeitpunkts, in dem der Antrag oder das Ersuchen bei dem Registergericht eingeht, sind der mit der Führung des Registers für das betroffene Schiff Beauftragte und der vom Leiter des Amtsgerichts für das Schiffsregister oder einzelne Abteilungen bestellte Beamte der Geschäftsstelle zuständig. Bezieht sich der Antrag oder das Ersuchen auf mehrere Schiffe in verschiedenen Geschäftsbereichen desselben Registergerichts, ist jeder zuständig, der nach Satz 1 in Betracht kommt.</w:t>
      </w:r>
    </w:p>
    <w:p>
      <w:r>
        <w:t xml:space="preserve">(2) Eintragungen in das Schiffsregister sind von dem mit der Führung des Registers Beauftragten und dem Urkundsbeamten der Geschäftsstelle zu unterschreiben. Jedoch kann statt des Urkundsbeamten ein vom Leiter des Amtsgerichts ermächtigter Justizangestellter unterschreiben. Die Schiffsurkunden sowie die Vermerke auf den Schiffsurkunden (§ 61) sind von dem mit der Führung des Registers Beauftragten zu unterschreiben.</w:t>
      </w:r>
    </w:p>
    <w:p>
      <w:r>
        <w:t xml:space="preserve">(3) Die Landesregierungen können durch Rechtsverordnung bestimmen, daß der Urkundsbeamte der Geschäftsstelle zuständig ist für</w:t>
      </w:r>
    </w:p>
    <w:p>
      <w:pPr>
        <w:ind w:left="420"/>
      </w:pPr>
      <w:r>
        <w:t xml:space="preserve">1. die Bekanntmachung der Eintragungen,</w:t>
      </w:r>
    </w:p>
    <w:p>
      <w:pPr>
        <w:ind w:left="420"/>
      </w:pPr>
      <w:r>
        <w:t xml:space="preserve">2. die Gestattung der Einsicht in die Registerakten,</w:t>
      </w:r>
    </w:p>
    <w:p>
      <w:pPr>
        <w:ind w:left="420"/>
      </w:pPr>
      <w:r>
        <w:t xml:space="preserve">3. die Erteilung von Abschriften aus dem Register oder den Registerakten,</w:t>
      </w:r>
    </w:p>
    <w:p>
      <w:pPr>
        <w:ind w:left="420"/>
      </w:pPr>
      <w:r>
        <w:t xml:space="preserve">4. die Beglaubigung der Abschriften,</w:t>
      </w:r>
    </w:p>
    <w:p>
      <w:pPr>
        <w:ind w:left="420"/>
      </w:pPr>
      <w:r>
        <w:t xml:space="preserve">5. die Erteilung von Bescheinigungen und Zeugnissen mit Ausnahme der Schiffsurkunden an dritte Personen oder Stellen in den gesetzlich vorgesehenen Fällen,</w:t>
      </w:r>
    </w:p>
    <w:p>
      <w:r>
        <w:t xml:space="preserve">soweit dies aus Gründen der Vereinfachung oder Beschleunigung des Geschäftsablaufs oder zur Entlastung des mit der Führung des Registers Beauftragten zweckmäßig ist. Die Landesregierungen können die Ermächtigung durch Rechtsverordnung auf die Landesjustizverwaltungen übertragen.</w:t>
      </w:r>
    </w:p>
    <w:p>
      <w:r>
        <w:t xml:space="preserve">(4) Die Vorschrift des § 6 des Gesetzes über das Verfahren in Familiensachen und in den Angelegenheiten der freiwilligen Gerichtsbarkeit ist auf den Urkundsbeamten der Geschäftsstelle sinngemäß anzuwenden. Handlungen des Urkundsbeamten der Geschäftsstelle sind nicht aus dem Grund unwirksam, weil sie von einem örtlich unzuständigen oder von der Ausübung seines Amtes kraft Gesetzes ausgeschlossenen Urkundsbeamten vorgenommen worden sind.</w:t>
      </w:r>
    </w:p>
    <w:p>
      <w:r>
        <w:t xml:space="preserve">(5) Wird die Änderung einer Entscheidung des Urkundsbeamten der Geschäftsstelle verlangt, so entscheidet, wenn dieser dem Verlangen nicht entspricht, der Richter. Die Beschwerde findet erst gegen seine Entscheidung statt.</w:t>
      </w:r>
    </w:p>
    <w:p>
      <w:r>
        <w:rPr>
          <w:color w:val="555555"/>
          <w:sz w:val="17"/>
        </w:rPr>
        <w:t xml:space="preserve">Zitiervorschlag: § 2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