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Zur Anmeldung nach § 17 ist der Eigentümer, bei einer Reederei auch der Korrespondentreeder verpflichtet.</w:t>
      </w:r>
    </w:p>
    <w:p>
      <w:r>
        <w:t xml:space="preserve">(2) Sind mehrere Verpflichtete vorhanden, so genügt die Anmeldung durch einen von ihnen; entsprechendes gilt, wenn der Eigentümer eine juristische Person oder eine rechtsfähige Personengesellschaft ist, die durch mehrere Personen vertreten wird.</w:t>
      </w:r>
    </w:p>
    <w:p>
      <w:r>
        <w:rPr>
          <w:color w:val="555555"/>
          <w:sz w:val="17"/>
        </w:rPr>
        <w:t xml:space="preserve">Zitiervorschlag: § 18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