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Die Eintragung des Schiffs (§ 9) hat die in § 11 Abs. 1 Nr. 1 bis 7, 9, Abs. 2, § 12 bezeichneten Angaben, die Bezeichnung des Meßbriefs, des Eichscheins oder einer anderen nach § 13 Abs. 1 zulässigen Urkunde und den Tag der Eintragung zu enthalten; sie ist von den zuständigen Beamten zu unterschreiben.</w:t>
      </w:r>
    </w:p>
    <w:p>
      <w:r>
        <w:t xml:space="preserve">(2) Bei der Eintragung eines Seeschiffs ist ferner ein dem Schiff vom Registergericht zugeteiltes Unterscheidungssignal sowie die Feststellung einzutragen, nach welcher Bestimmung des Flaggenrechtsgesetzes das Schiff zur Führung der Bundesflagge berechtigt ist.</w:t>
      </w:r>
    </w:p>
    <w:p>
      <w:r>
        <w:t xml:space="preserve">(3) Ist das Schiff in das Schiffsbauregister eingetragen, so sind die dort eingetragenen Schiffshypotheken mit ihrem bisherigen Rang von Amts wegen in das Schiffsregister zu übertragen; die Eintragung des Schiffs ist dem Schiffsbauregister mitzuteilen.</w:t>
      </w:r>
    </w:p>
    <w:p>
      <w:r>
        <w:t xml:space="preserve">(4) Hat vor der Eintragung des Schiffs ein anderer dem Registergericht gegenüber der Eintragung des Anmeldenden als Eigentümer mit der Begründung widersprochen, daß er Eigentümer des Schiffs sei, so kann das Registergericht bei der Eintragung des Schiffs zugunsten des anderen einen Widerspruch gegen die Richtigkeit der Eigentumseintragung eintragen.</w:t>
      </w:r>
    </w:p>
    <w:p>
      <w:r>
        <w:rPr>
          <w:color w:val="555555"/>
          <w:sz w:val="17"/>
        </w:rPr>
        <w:t xml:space="preserve">Zitiervorschlag: § 16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