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SchRegO</w:t>
      </w:r>
    </w:p>
    <w:p>
      <w:r>
        <w:rPr>
          <w:color w:val="555555"/>
          <w:sz w:val="18"/>
        </w:rPr>
        <w:t xml:space="preserve">Schiffsregisterordnung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das Schiff ganz oder zum Teil im Inland erbaut, so ist bei der Anmeldung eine Bescheinigung des Registergerichts des Bauorts darüber einzureichen, ob das Schiff im Schiffsbauregister eingetragen ist; gegebenenfalls ist eine beglaubigte Abschrift des Registerblatts beizufügen. In der Bescheinigung ist anzugeben, daß sie zum Zwecke der Eintragung des Schiffs in das Schiffsregister erteilt ist.</w:t>
      </w:r>
    </w:p>
    <w:p>
      <w:r>
        <w:rPr>
          <w:color w:val="555555"/>
          <w:sz w:val="17"/>
        </w:rPr>
        <w:t xml:space="preserve">Zitiervorschlag: § 15 SchRegO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https://recht.nulegal.eu/gesetze/SchRegO/15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