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Die in § 11 Abs. 1 Nr. 3, 4, 6, 7, Abs. 2, § 12 Nr. 3, 4, 6, 7 bezeichneten Angaben sowie die Maschinenleistung sind glaubhaft zu machen. Der Meßbrief (§ 11 Abs. 1 Nr. 5), der Eichschein oder eine andere zur Bescheinigung der größten Tragfähigkeit oder der Wasserverdrängung bei größter Eintauchung bestimmte und geeignete amtliche Urkunde (§ 12 Nr. 5) ist vorzulegen; ist das Schiff im Inland noch nicht amtlich vermessen (§ 11 Abs. 2) oder geeicht, genügt zu § 11 Abs. 2, § 12 Nr. 5 die Vorlegung der Vermessungsurkunde oder des Eichscheins der ausländischen Behörde oder einer anderen zur Glaubhaftmachung der Angaben geeigneten Urkunde.</w:t>
      </w:r>
    </w:p>
    <w:p>
      <w:r>
        <w:t xml:space="preserve">(2) Bei der Anmeldung eines Seeschiffes sind die das Recht zur Führung der Bundesflagge begründenden Tatsachen nachzuweisen. Der Nachweis über die Benennung einer geeigneten beauftragten Person im Sinne des § 2 Absatz 4 des Flaggenrechtsgesetzes wird durch eine Bescheinigung des Bundesamtes für Seeschifffahrt und Hydrographie geführt.</w:t>
      </w:r>
    </w:p>
    <w:p>
      <w:r>
        <w:rPr>
          <w:color w:val="555555"/>
          <w:sz w:val="17"/>
        </w:rPr>
        <w:t xml:space="preserve">Zitiervorschlag: § 13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