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Anmeldung eines Binnenschiffs sind anzugeben:</w:t>
      </w:r>
    </w:p>
    <w:p>
      <w:pPr>
        <w:ind w:left="420"/>
      </w:pPr>
      <w:r>
        <w:t xml:space="preserve">1. der Name, die Nummer oder das sonstige Merkzeichen des Schiffs;</w:t>
      </w:r>
    </w:p>
    <w:p>
      <w:pPr>
        <w:ind w:left="420"/>
      </w:pPr>
      <w:r>
        <w:t xml:space="preserve">2. die Gattung und der Hauptbaustoff;</w:t>
      </w:r>
    </w:p>
    <w:p>
      <w:pPr>
        <w:ind w:left="420"/>
      </w:pPr>
      <w:r>
        <w:t xml:space="preserve">3. der Heimatort;</w:t>
      </w:r>
    </w:p>
    <w:p>
      <w:pPr>
        <w:ind w:left="420"/>
      </w:pPr>
      <w:r>
        <w:t xml:space="preserve">4. der Bauort, die Schiffswerft, auf der das Schiff erbaut worden ist, und das Jahr des Stapellaufs, es sei denn, daß dies nur mit besonderen Schwierigkeiten zu ermitteln ist;</w:t>
      </w:r>
    </w:p>
    <w:p>
      <w:pPr>
        <w:ind w:left="420"/>
      </w:pPr>
      <w:r>
        <w:t xml:space="preserve">5. bei Schiffen, die zur Beförderung von Gütern bestimmt sind, die größte Tragfähigkeit, bei anderen Schiffen die Wasserverdrängung bei größter Eintauchung sowie bei Schiffen mit eigener Triebkraft außerdem die Maschinenleistung;</w:t>
      </w:r>
    </w:p>
    <w:p>
      <w:pPr>
        <w:ind w:left="420"/>
      </w:pPr>
      <w:r>
        <w:t xml:space="preserve">6. der Eigentümer, bei mehreren Eigentümern die Größe der einzelnen Anteile;</w:t>
      </w:r>
    </w:p>
    <w:p>
      <w:pPr>
        <w:ind w:left="420"/>
      </w:pPr>
      <w:r>
        <w:t xml:space="preserve">7. der Rechtsgrund für den Erwerb des Eigentums.</w:t>
      </w:r>
    </w:p>
    <w:p>
      <w:r>
        <w:rPr>
          <w:color w:val="555555"/>
          <w:sz w:val="17"/>
        </w:rPr>
        <w:t xml:space="preserve">Zitiervorschlag: § 12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