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SchRegDV</w:t>
      </w:r>
    </w:p>
    <w:p>
      <w:r>
        <w:rPr>
          <w:color w:val="555555"/>
          <w:sz w:val="18"/>
        </w:rPr>
        <w:t xml:space="preserve">Verordnung zur Durchführung der 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Eintragungen in der zweiten und dritten Abteilung sind in unmittelbarem Anschluß an die vorhergehende Eintragung derselben Spalte vorzunehmen.</w:t>
      </w:r>
    </w:p>
    <w:p>
      <w:r>
        <w:rPr>
          <w:color w:val="555555"/>
          <w:sz w:val="17"/>
        </w:rPr>
        <w:t xml:space="preserve">Zitiervorschlag: § 8 SchRegDV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https://recht.nulegal.eu/gesetze/SchRegDV/8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