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73f SchRegDV</w:t>
      </w:r>
    </w:p>
    <w:p>
      <w:r>
        <w:rPr>
          <w:color w:val="555555"/>
          <w:sz w:val="18"/>
        </w:rPr>
        <w:t xml:space="preserve">Verordnung zur Durchführung der Schiffsregisterordnung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die Erteilung von Ausdrucken aus der elektronischen Registerakte gilt § 65 Absatz 1 und 2 entsprechend. In den amtlichen Ausdruck sind auch die zugehörigen Protokolle nach § 73c Absatz 2 und Vermerke nach § 73d aufzunehmen.</w:t>
      </w:r>
    </w:p>
    <w:p>
      <w:r>
        <w:t xml:space="preserve">(2) Für die Einsicht in die elektronischen Registerakten gilt § 67 entsprechend.</w:t>
      </w:r>
    </w:p>
    <w:p>
      <w:r>
        <w:t xml:space="preserve">(3) Für den Abruf von Daten aus der elektronischen Registerakte im automatisierten Verfahren gelten die §§ 68 bis 70 entsprechend.</w:t>
      </w:r>
    </w:p>
    <w:p>
      <w:r>
        <w:rPr>
          <w:color w:val="555555"/>
          <w:sz w:val="17"/>
        </w:rPr>
        <w:t xml:space="preserve">Zitiervorschlag: § 73f SchRegDV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https://recht.nulegal.eu/gesetze/SchRegDV/73f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