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73e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(1) Wird ein elektronisches Dokument zur Übernahme in die Registerakte in die Papierform übertragen, ist durch geeignete Vorkehrungen sicherzustellen, dass der Ausdruck inhaltlich und bildlich mit der Wiedergabe des elektronischen Dokuments auf dem Bildschirm übereinstimmt. Bei dem Ausdruck sind die in § 73c Absatz 2 Satz 1 genannten Feststellungen zu vermerken.</w:t>
      </w:r>
    </w:p>
    <w:p>
      <w:r>
        <w:t xml:space="preserve">(2) Wird ein elektronisches Dokument zur Erhaltung der Lesbarkeit in ein anderes Dateiformat übertragen, ist durch geeignete Vorkehrungen sicherzustellen, dass die Wiedergabe der Zieldatei auf dem Bildschirm inhaltlich und bildlich mit der Wiedergabe der Ausgangsdatei übereinstimmt. Protokolle nach § 73c Absatz 2, Vermerke nach § 73d sowie Eingangsvermerke nach § 136 Absatz 1 und 2 der Grundbuchordnung in Verbindung mit § 94 Absatz 5 der Schiffsregisterordnung sind ebenfalls in lesbarer Form zu erhalten; für sie gilt Satz 1 entsprechend mit der Maßgabe, dass die inhaltliche Übereinstimmung sicherzustellen ist.</w:t>
      </w:r>
    </w:p>
    <w:p>
      <w:r>
        <w:t xml:space="preserve">(3) Im Fall einer Beschwerde hat das Registergericht von den in der elektronischen Registerakte gespeicherten Dokumenten Ausdrucke gemäß Absatz 1 für das Beschwerdegericht zu fertigen, soweit dies zur Durchführung des Beschwerdeverfahrens notwendig ist. Die Ausdrucke sind mindestens bis zum rechtskräftigen Abschluss des Beschwerdeverfahrens aufzubewahren.</w:t>
      </w:r>
    </w:p>
    <w:p>
      <w:r>
        <w:rPr>
          <w:color w:val="555555"/>
          <w:sz w:val="17"/>
        </w:rPr>
        <w:t xml:space="preserve">Zitiervorschlag: § 73e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https://recht.nulegal.eu/gesetze/SchRegDV/73e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