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Unterscheidungssignale, IMO-Nummern, Meßdaten und Angaben zum Flaggenführungsrecht kann das Registergericht von dem Bundesamt für Seeschiffahrt und Hydrographie anfordern, soweit die Daten dort maschinell geführt werden.</w:t>
      </w:r>
    </w:p>
    <w:p>
      <w:r>
        <w:t xml:space="preserve">(2) Soweit das Register maschinell geführt wird, dürfen das Bundesamt für Seeschiffahrt und Hydrographie und die See-Berufsgenossenschaft für ihre Aufgaben notwendige Angaben aus der ersten bis dritten Abteilung anfordern, soweit dies für die Aufgabenerfüllung erforderlich ist.</w:t>
      </w:r>
    </w:p>
    <w:p>
      <w:r>
        <w:t xml:space="preserve">(3) Die Anforderung nach den Absätzen 1 und 2 bedarf keiner besonderen Genehmigung oder Vereinbarung. Auf Ersuchen der berechtigten Stellen übermittelt das Registergericht ihnen die erforderlichen Daten aus dem Register. Die Daten können auch im automatisierten Verfahren übermittelt werden.</w:t>
      </w:r>
    </w:p>
    <w:p>
      <w:r>
        <w:rPr>
          <w:color w:val="555555"/>
          <w:sz w:val="17"/>
        </w:rPr>
        <w:t xml:space="preserve">Zitiervorschlag: § 71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