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SchRegDV</w:t>
      </w:r>
    </w:p>
    <w:p>
      <w:r>
        <w:rPr>
          <w:color w:val="555555"/>
          <w:sz w:val="18"/>
        </w:rPr>
        <w:t xml:space="preserve">Verordnung zur Durchführung der Schiffsregisterordnung</w:t>
      </w:r>
    </w:p>
    <w:p>
      <w:r>
        <w:rPr>
          <w:color w:val="555555"/>
          <w:sz w:val="18"/>
        </w:rPr>
        <w:t xml:space="preserve">Stand: 01.07.2026 (konsolidierte Textfassung, kein amtliches Inkrafttretensdatum)</w:t>
      </w:r>
    </w:p>
    <w:p>
      <w:r>
        <w:t xml:space="preserve">Der Abruf von Daten in einem elektronischen Abrufverfahren aufgrund einer Rechtsverordnung nach § 8 Absatz 1 Satz 3 der Schiffsregisterordnung berechtigt zur Einsichtnahme in das Register in dem dort bestimmten Umfang sowie zur Fertigung von Abdrucken des Registerblatts. Abdrucke stehen den Ausdrucken nicht gleich. Für den Abruf der der Einsicht unterliegenden Daten ist technisch sicherzustellen, dass ein Abruf jeweils nur einzeln für jedes Registerblatt und dass keine gezielte Suche nach natürlichen Personen möglich ist.</w:t>
      </w:r>
    </w:p>
    <w:p>
      <w:r>
        <w:rPr>
          <w:color w:val="555555"/>
          <w:sz w:val="17"/>
        </w:rPr>
        <w:t xml:space="preserve">Zitiervorschlag: § 68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