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SchRegDV</w:t>
      </w:r>
    </w:p>
    <w:p>
      <w:r>
        <w:rPr>
          <w:color w:val="555555"/>
          <w:sz w:val="18"/>
        </w:rPr>
        <w:t xml:space="preserve">Verordnung zur Durchführung der Schiffsregisterordnung</w:t>
      </w:r>
    </w:p>
    <w:p>
      <w:r>
        <w:rPr>
          <w:color w:val="555555"/>
          <w:sz w:val="18"/>
        </w:rPr>
        <w:t xml:space="preserve">Stand: 10.06.2019 (konsolidierte Textfassung, kein amtliches Inkrafttretensdatum)</w:t>
      </w:r>
    </w:p>
    <w:p>
      <w:r>
        <w:t xml:space="preserve">(1) Bei maschinell geführten Registern sind das Schiffszertifikat, der amtliche Auszug aus diesem und der Schiffsbrief nicht zu unterschreiben. Am Schluß der Seite 2 der Muster der Anlagen 4 bis 6a ist jeweils der Vermerk aufzudrucken: "Diese Urkunde ist maschinell hergestellt und ohne Unterschrift wirksam." Anstelle des von Hand aufgebrachten Siegels kann das Siegel maschinell eingedruckt sein oder aufgedruckt werden. Im Verkehr mit dem Ausland können maschinell hergestellte Schiffsurkunden auch von Hand unterschrieben und gesiegelt werden; in diesem Fall ist der in Satz 2 bezeichnete Vermerk wegzulassen oder durchzustreichen.</w:t>
      </w:r>
    </w:p>
    <w:p>
      <w:r>
        <w:t xml:space="preserve">(2) Der amtlich beglaubigte Auszug aus dem Schiffszertifikat trägt abweichend vom Muster in Anlage 5 die Überschrift "Amtlicher Auszug aus dem Schiffszertifikat".</w:t>
      </w:r>
    </w:p>
    <w:p>
      <w:r>
        <w:t xml:space="preserve">(3) Besteht eine zu erstellende Schiffsurkunde aus mehreren Bögen, so ist § 37 Abs. 4 nicht anzuwenden. Auf jedem Bogen ist in diesem Fall die Blattzahl und auf den folgenden Bogen auch die Schiffsurkunde anzugeben, zu welcher die weiteren Bogen gehören.</w:t>
      </w:r>
    </w:p>
    <w:p>
      <w:r>
        <w:t xml:space="preserve">(4) Sind auf einer erteilten Schiffsurkunde Änderungen oder Zusätze zu vermerken, so ist die erteilte Urkunde einzuziehen und unbrauchbar zu machen. An ihrer Stelle wird eine vollständige neue Urkunde erteilt. Dies gilt auch, wenn die erteilte Urkunde nicht aus dem maschinell geführten Register erteilt worden ist.</w:t>
      </w:r>
    </w:p>
    <w:p>
      <w:r>
        <w:rPr>
          <w:color w:val="555555"/>
          <w:sz w:val="17"/>
        </w:rPr>
        <w:t xml:space="preserve">Zitiervorschlag: § 66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