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SchRegDV</w:t>
      </w:r>
    </w:p>
    <w:p>
      <w:r>
        <w:rPr>
          <w:color w:val="555555"/>
          <w:sz w:val="18"/>
        </w:rPr>
        <w:t xml:space="preserve">Verordnung zur Durchführung der Schiffsregisterordnung</w:t>
      </w:r>
    </w:p>
    <w:p>
      <w:r>
        <w:rPr>
          <w:color w:val="555555"/>
          <w:sz w:val="18"/>
        </w:rPr>
        <w:t xml:space="preserve">Stand: 10.06.2019 (konsolidierte Textfassung, kein amtliches Inkrafttretensdatum)</w:t>
      </w:r>
    </w:p>
    <w:p>
      <w:r>
        <w:t xml:space="preserve">Bei maschinell geführten Registern ist der in den dafür bestimmten Datenspeicher aufgenommene und auf Dauer unverändert in lesbarer Form wiedergabefähige Inhalt des Registerblatts (§ 3) das Register. Die Bestimmung des Datenspeichers nach Satz 1 kann durch Verfügung der zuständigen Stelle geändert werden, wenn dies dazu dient, die Erhaltung und die Abrufbarkeit der Daten sicherzustellen oder zu verbessern, und die Daten dabei nicht verändert werden. Die Verfügung kann auch in allgemeiner Form und vor Eintritt eines Änderungsfalls getroffen werden.</w:t>
      </w:r>
    </w:p>
    <w:p>
      <w:r>
        <w:rPr>
          <w:color w:val="555555"/>
          <w:sz w:val="17"/>
        </w:rPr>
        <w:t xml:space="preserve">Zitiervorschlag: § 56 SchRegDV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https://recht.nulegal.eu/gesetze/SchRegDV/56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