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54 SchRegDV</w:t>
      </w:r>
    </w:p>
    <w:p>
      <w:r>
        <w:rPr>
          <w:color w:val="555555"/>
          <w:sz w:val="18"/>
        </w:rPr>
        <w:t xml:space="preserve">Verordnung zur Durchführung der Schiffsregisterordnung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im Bau befindliche oder fertiggestellte Schwimmdocks sind die Vorschriften in den §§ 46 und 49 bis 53 mit den folgenden Maßgaben entsprechend anzuwenden:</w:t>
      </w:r>
    </w:p>
    <w:p>
      <w:pPr>
        <w:ind w:left="420"/>
      </w:pPr>
      <w:r>
        <w:t xml:space="preserve">1. Die Fertigstellung des Schwimmdocks (§ 73a der Schiffsregisterordnung) und die Angabe, daß es sich um ein fertiggestelltes Schwimmdock handelt (§ 73b der Schiffsregisterordnung), sind in der ersten Abteilung in Spalte 1 einzutragen.</w:t>
      </w:r>
    </w:p>
    <w:p>
      <w:pPr>
        <w:ind w:left="420"/>
      </w:pPr>
      <w:r>
        <w:t xml:space="preserve">2. Der Lageort ist in der ersten Abteilung in Spalte 2 einzutragen; hierbei ist in der Eintragung kenntlich zu machen, daß es sich um den Lageort handelt.</w:t>
      </w:r>
    </w:p>
    <w:p>
      <w:pPr>
        <w:ind w:left="420"/>
      </w:pPr>
      <w:r>
        <w:t xml:space="preserve">3. Im Fall des § 73b der Schiffsregisterordnung ist bei der ersten Eintragung des Schwimmdocks anstelle der in § 52 Abs. 1 Nr. 3 Buchstabe a vorgesehenen Angaben über den Eigentümer als Inhaber der Schiffswerft oder über die in § 69 Abs. 2 der Schiffsregisterordnung genannte Urkunde in der zweiten Abteilung in Spalte 3 der Rechtsgrund für den Erwerb des Eigentums einzutragen.</w:t>
      </w:r>
    </w:p>
    <w:p>
      <w:r>
        <w:rPr>
          <w:color w:val="555555"/>
          <w:sz w:val="17"/>
        </w:rPr>
        <w:t xml:space="preserve">Zitiervorschlag: § 54 SchRegDV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https://recht.nulegal.eu/gesetze/SchRegDV/54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