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In der zweiten Abteilung sind einzutragen:</w:t>
      </w:r>
    </w:p>
    <w:p>
      <w:pPr>
        <w:ind w:left="420"/>
      </w:pPr>
      <w:r>
        <w:t xml:space="preserve">1. in Spalte 1: die laufende Nummer der Eintragung in Spalte 2;</w:t>
      </w:r>
    </w:p>
    <w:p>
      <w:pPr>
        <w:ind w:left="420"/>
      </w:pPr>
      <w:r>
        <w:t xml:space="preserve">2. in Spalte 2:</w:t>
      </w:r>
    </w:p>
    <w:p>
      <w:pPr>
        <w:ind w:left="780"/>
      </w:pPr>
      <w:r>
        <w:t xml:space="preserve">a) der Eigentümer des Schiffsbauwerks oder die Miteigentümer, bei einer Baureederei die sämtlichen Mitreeder, gegebenenfalls der Korrespondentreeder;</w:t>
      </w:r>
    </w:p>
    <w:p>
      <w:pPr>
        <w:ind w:left="780"/>
      </w:pPr>
      <w:r>
        <w:t xml:space="preserve">b) bei mehreren Eigentümern die in § 51 Absatz 1 und § 74 der Schiffsregisterordnung vorgeschriebenen Angaben;</w:t>
      </w:r>
    </w:p>
    <w:p>
      <w:pPr>
        <w:ind w:left="420"/>
      </w:pPr>
      <w:r>
        <w:t xml:space="preserve">3. in Spalte 3:</w:t>
      </w:r>
    </w:p>
    <w:p>
      <w:pPr>
        <w:ind w:left="780"/>
      </w:pPr>
      <w:r>
        <w:t xml:space="preserve">a) bei der ersten Eintragung des Schiffsbauwerks die Angabe, daß der Eigentümer Inhaber der Schiffswerft ist, oder die Bezeichnung der in § 69 Abs. 2 der Schiffsregisterordnung genannten Urkunde, bei Eigentumsänderungen die Grundlage der Eintragung (§ 28 Abs. 1 Nr. 5 Buchstabe a);</w:t>
      </w:r>
    </w:p>
    <w:p>
      <w:pPr>
        <w:ind w:left="780"/>
      </w:pPr>
      <w:r>
        <w:t xml:space="preserve">b) der Verzicht auf das Eigentum;</w:t>
      </w:r>
    </w:p>
    <w:p>
      <w:pPr>
        <w:ind w:left="780"/>
      </w:pPr>
      <w:r>
        <w:t xml:space="preserve">c) die Vormerkungen und Widersprüche, die sich auf das Eigentum beziehen, sowie Beschränkungen des Eigentümers in der Verfügung über das Eigentum;</w:t>
      </w:r>
    </w:p>
    <w:p>
      <w:pPr>
        <w:ind w:left="780"/>
      </w:pPr>
      <w:r>
        <w:t xml:space="preserve">d) die Schutzvermerke (§ 28 Abs. 2, § 74, § 81 Abs. 1 der Schiffsregisterordnung), die sich auf das Eigentum beziehen;</w:t>
      </w:r>
    </w:p>
    <w:p>
      <w:pPr>
        <w:ind w:left="780"/>
      </w:pPr>
      <w:r>
        <w:t xml:space="preserve">e) die Änderungen der Namen, Firmen und sonstigen in Spalte 2 eingetragenen Bezeichnungen;</w:t>
      </w:r>
    </w:p>
    <w:p>
      <w:pPr>
        <w:ind w:left="780"/>
      </w:pPr>
      <w:r>
        <w:t xml:space="preserve">f) die Löschung der eingetragenen Vormerkungen, Widersprüche, Verfügungsbeschränkungen und Schutzvermerke.</w:t>
      </w:r>
    </w:p>
    <w:p>
      <w:r>
        <w:t xml:space="preserve">(2) Die Eintragungen sind in Spalte 3 zu unterschreiben.</w:t>
      </w:r>
    </w:p>
    <w:p>
      <w:r>
        <w:rPr>
          <w:color w:val="555555"/>
          <w:sz w:val="17"/>
        </w:rPr>
        <w:t xml:space="preserve">Zitiervorschlag: § 52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