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ersten Abteilung sind einzutragen:</w:t>
      </w:r>
    </w:p>
    <w:p>
      <w:pPr>
        <w:ind w:left="420"/>
      </w:pPr>
      <w:r>
        <w:t xml:space="preserve">1. in Spalte 1: der Name, die Nummer oder die sonstige Bezeichnung und die Gattung des im Bau befindlichen Schiffs; im Fall der Änderung der neue Name, die neue Nummer oder sonstige Bezeichnung oder die neue Gattung;</w:t>
      </w:r>
    </w:p>
    <w:p>
      <w:pPr>
        <w:ind w:left="420"/>
      </w:pPr>
      <w:r>
        <w:t xml:space="preserve">2. in Spalte 2: der Bauort und die Schiffswerft, auf der das Schiff im Bau ist; im Fall der Änderung der neue Bauort oder die neue Schiffswerft;</w:t>
      </w:r>
    </w:p>
    <w:p>
      <w:pPr>
        <w:ind w:left="420"/>
      </w:pPr>
      <w:r>
        <w:t xml:space="preserve">3. in Spalte 3: die Bezeichnung der in § 69 Abs. 3 der Schiffsregisterordnung genannten Urkunde;</w:t>
      </w:r>
    </w:p>
    <w:p>
      <w:pPr>
        <w:ind w:left="420"/>
      </w:pPr>
      <w:r>
        <w:t xml:space="preserve">4. in Spalte 4: der Tag der Eintragung des Schiffsbauwerks und die Änderungen der in den Spalten 1 und 2 eingetragenen Tatsachen;</w:t>
      </w:r>
    </w:p>
    <w:p>
      <w:pPr>
        <w:ind w:left="420"/>
      </w:pPr>
      <w:r>
        <w:t xml:space="preserve">5. in Spalte 5: die Löschung der Eintragung des Schiffsbauwerks unter Angabe ihres Grundes.</w:t>
      </w:r>
    </w:p>
    <w:p>
      <w:r>
        <w:t xml:space="preserve">(2) Die erste Eintragung und die Veränderungen sind in Spalte 4, die Löschung ist in Spalte 5 zu unterschreiben.</w:t>
      </w:r>
    </w:p>
    <w:p>
      <w:r>
        <w:rPr>
          <w:color w:val="555555"/>
          <w:sz w:val="17"/>
        </w:rPr>
        <w:t xml:space="preserve">Zitiervorschlag: § 51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