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Urkunden und Abschriften, die nach § 59 der Schiffsregisterordnung vom Registergericht aufzubewahren sind, werden zu den Registerakten genommen. Das gleiche gilt für die bei der Anmeldung eingereichten Urkunden, soweit sie nicht dem Anmeldenden zurückgegeben werden.</w:t>
      </w:r>
    </w:p>
    <w:p>
      <w:r>
        <w:t xml:space="preserve">(2) Betrifft ein Schriftstück der in Absatz 1 bezeichneten Art Eintragungen auf verschiedenen Registerblättern desselben Registergerichts, so ist es zu den Registerakten eines der beteiligten Blätter zu nehmen; in den Registerakten der anderen Blätter ist auf diese Registerakten zu verweisen.</w:t>
      </w:r>
    </w:p>
    <w:p>
      <w:r>
        <w:rPr>
          <w:color w:val="555555"/>
          <w:sz w:val="17"/>
        </w:rPr>
        <w:t xml:space="preserve">Zitiervorschlag: § 5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