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Abgesehen vom Fall des § 62 Abs. 3 der Schiffsregisterordnung ist das Schiffszertifikat auch unbrauchbar zu machen, wenn ein neues Schiffszertifikat ausgestellt ist.</w:t>
      </w:r>
    </w:p>
    <w:p>
      <w:r>
        <w:t xml:space="preserve">(2) Das Schiffszertifikat wird dadurch unbrauchbar gemacht, daß es mit Einschnitten versehen und seine Vorderseite rot durchkreuzt wird; es ist bei den Registerakten zu verwahren.</w:t>
      </w:r>
    </w:p>
    <w:p>
      <w:r>
        <w:rPr>
          <w:color w:val="555555"/>
          <w:sz w:val="17"/>
        </w:rPr>
        <w:t xml:space="preserve">Zitiervorschlag: § 41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