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neues Schiffszertifikat ist auszustellen, wenn das Schiff auf ein anderes Registerblatt übertragen wird oder wenn der Eigentümer es beantragt.</w:t>
      </w:r>
    </w:p>
    <w:p>
      <w:r>
        <w:t xml:space="preserve">(2) In das neue Schiffszertifikat ist nur der zur Zeit seiner Ausstellung gültige Inhalt des Schiffsregisters aufzunehmen.</w:t>
      </w:r>
    </w:p>
    <w:p>
      <w:r>
        <w:t xml:space="preserve">(3) Wird das neue Schiffszertifikat an Stelle eines abhandengekommenen ausgestellt, so ist dies im Ausfertigungsvermerk anzugeben.</w:t>
      </w:r>
    </w:p>
    <w:p>
      <w:r>
        <w:rPr>
          <w:color w:val="555555"/>
          <w:sz w:val="17"/>
        </w:rPr>
        <w:t xml:space="preserve">Zitiervorschlag: § 40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