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das Schiff noch nicht im Inland vermessen (§ 27 Abs. 1 Nr. 6), so sind die Ergebnisse der Vermessung links neben dem für die Eintragung der amtlichen Vermessung bestimmten Platz im Schiffszertifikat einzutragen.</w:t>
      </w:r>
    </w:p>
    <w:p>
      <w:r>
        <w:t xml:space="preserve">(2) Verfügungsbeschränkungen, Vormerkungen und Widersprüche, die zur Zeit der Erteilung des Schiffszertifikats in der zweiten Abteilung des Schiffsregisters eingetragen sind, sind auf der Seite des Schiffszertifikats zu vermerken, die der Seite 3 des Musters in der Anlage 4 zu dieser Verordnung entspricht. Eintragungen von Schiffshypotheken oder eines Nießbrauchs sind auf der Seite des Schiffszertifikats zu vermerken, die der Seite 4 des Musters in der Anlage 4 zu dieser Verordnung entspricht. Die Vermerke sind zu unterschreiben und mit dem Stempel des Registergerichts zu versehen.</w:t>
      </w:r>
    </w:p>
    <w:p>
      <w:r>
        <w:rPr>
          <w:color w:val="555555"/>
          <w:sz w:val="17"/>
        </w:rPr>
        <w:t xml:space="preserve">Zitiervorschlag: § 38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