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In der zweiten Abteilung sind einzutragen:</w:t>
      </w:r>
    </w:p>
    <w:p>
      <w:pPr>
        <w:ind w:left="420"/>
      </w:pPr>
      <w:r>
        <w:t xml:space="preserve">1. in Spalte 1: die laufende Nummer der Eintragung in Spalte 2;</w:t>
      </w:r>
    </w:p>
    <w:p>
      <w:pPr>
        <w:ind w:left="420"/>
      </w:pPr>
      <w:r>
        <w:t xml:space="preserve">2. in Spalte 2:</w:t>
      </w:r>
    </w:p>
    <w:p>
      <w:pPr>
        <w:ind w:left="780"/>
      </w:pPr>
      <w:r>
        <w:t xml:space="preserve">a) der Eigentümer des Schiffs oder die Miteigentümer;</w:t>
      </w:r>
    </w:p>
    <w:p>
      <w:pPr>
        <w:ind w:left="780"/>
      </w:pPr>
      <w:r>
        <w:t xml:space="preserve">b) bei mehreren Eigentümern die in § 51 Absatz 1 der Schiffsregisterordnung vorgeschriebenen Angaben;</w:t>
      </w:r>
    </w:p>
    <w:p>
      <w:pPr>
        <w:ind w:left="420"/>
      </w:pPr>
      <w:r>
        <w:t xml:space="preserve">3. in Spalte 3: bei mehreren Miteigentümern die Größe der den einzelnen Miteigentümern gehörenden Anteile in Form eines Bruchs; bei Alleineigentum ist ein waagerechter Strich zu ziehen;</w:t>
      </w:r>
    </w:p>
    <w:p>
      <w:pPr>
        <w:ind w:left="420"/>
      </w:pPr>
      <w:r>
        <w:t xml:space="preserve">4. in Spalte 4: die laufende Nummer der Eintragung in den Spalten 2 und 3, zu der die Eintragung in Spalte 5 gehört;</w:t>
      </w:r>
    </w:p>
    <w:p>
      <w:pPr>
        <w:ind w:left="420"/>
      </w:pPr>
      <w:r>
        <w:t xml:space="preserve">5. in Spalte 5:</w:t>
      </w:r>
    </w:p>
    <w:p>
      <w:pPr>
        <w:ind w:left="780"/>
      </w:pPr>
      <w:r>
        <w:t xml:space="preserve">a) bei der ersten Eintragung des Schiffs der Grund des Erwerbs, bei Eigentumsänderungen die Grundlage der Eintragung (§ 28 Abs. 1 Nr. 5 Buchstabe a);</w:t>
      </w:r>
    </w:p>
    <w:p>
      <w:pPr>
        <w:ind w:left="780"/>
      </w:pPr>
      <w:r>
        <w:t xml:space="preserve">b) der Verzicht auf das Eigentum;</w:t>
      </w:r>
    </w:p>
    <w:p>
      <w:pPr>
        <w:ind w:left="780"/>
      </w:pPr>
      <w:r>
        <w:t xml:space="preserve">c) die Vormerkungen und Widersprüche, die sich auf das Eigentum beziehen, sowie Beschränkungen des Eigentümers in der Verfügung über das Eigentum;</w:t>
      </w:r>
    </w:p>
    <w:p>
      <w:pPr>
        <w:ind w:left="780"/>
      </w:pPr>
      <w:r>
        <w:t xml:space="preserve">d) die Schutzvermerke (§ 28 Abs. 2, § 81 Abs. 1 der Schiffsregisterordnung), die sich auf das Eigentum beziehen;</w:t>
      </w:r>
    </w:p>
    <w:p>
      <w:pPr>
        <w:ind w:left="780"/>
      </w:pPr>
      <w:r>
        <w:t xml:space="preserve">e) die Änderungen der Namen, Firmen und sonstigen in Spalte 2 eingetragenen Bezeichnungen;</w:t>
      </w:r>
    </w:p>
    <w:p>
      <w:pPr>
        <w:ind w:left="780"/>
      </w:pPr>
      <w:r>
        <w:t xml:space="preserve">f) die Löschung der eingetragenen Vormerkungen, Widersprüche, Verfügungsbeschränkungen und Schutzvermerke.</w:t>
      </w:r>
    </w:p>
    <w:p>
      <w:r>
        <w:t xml:space="preserve">(2) Die Eintragungen sind in Spalte 5 zu unterschreiben.</w:t>
      </w:r>
    </w:p>
    <w:p>
      <w:r>
        <w:rPr>
          <w:color w:val="555555"/>
          <w:sz w:val="17"/>
        </w:rPr>
        <w:t xml:space="preserve">Zitiervorschlag: § 35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