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Einrichtung des Seeschiffsregisters ist das Muster maßgebend, das dieser Verordnung als Anlage 1 beigefügt ist.</w:t>
      </w:r>
    </w:p>
    <w:p>
      <w:r>
        <w:t xml:space="preserve">(2) Wird das Register in Bänden oder Einzelheften mit herausnehmbaren Einlegebogen geführt, kann von der Druckanordnung des Musters insoweit abgewichen werden, als die Abweichung zur Erleichterung des Eintragungsverfahrens zweckmäßig ist.</w:t>
      </w:r>
    </w:p>
    <w:p>
      <w:r>
        <w:rPr>
          <w:color w:val="555555"/>
          <w:sz w:val="17"/>
        </w:rPr>
        <w:t xml:space="preserve">Zitiervorschlag: § 25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