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Zur Bezeichnung des Berechtigten sind im Schiffregister einzutragen:</w:t>
      </w:r>
    </w:p>
    <w:p>
      <w:pPr>
        <w:ind w:left="420"/>
      </w:pPr>
      <w:r>
        <w:t xml:space="preserve">1. bei natürlichen Personen Vorname und Familienname, Geburtsdatum und, falls aus den Eintragungsunterlagen ersichtlich, akademische Grade und frühere Familiennamen; ergibt sich das Geburtsdatum nicht aus den Eintragungsunterlagen und ist es dem Registergericht nicht anderweitig bekannt, soll der Wohnort des Berechtigten angegeben werden;</w:t>
      </w:r>
    </w:p>
    <w:p>
      <w:pPr>
        <w:ind w:left="420"/>
      </w:pPr>
      <w:r>
        <w:t xml:space="preserve">2. bei rechtsfähigen Personengesellschaften und juristischen Personen die Firma oder der Name und der Sitz.</w:t>
      </w:r>
    </w:p>
    <w:p>
      <w:r>
        <w:rPr>
          <w:color w:val="555555"/>
          <w:sz w:val="17"/>
        </w:rPr>
        <w:t xml:space="preserve">Zitiervorschlag: § 16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