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Eintragung des Schiffs gelöscht, so ist das Registerblatt zu schließen.</w:t>
      </w:r>
    </w:p>
    <w:p>
      <w:r>
        <w:t xml:space="preserve">(2) Die Löschung der Eintragung eines Schiffs im Seeschiffsregister ist dem Registergericht mitzuteilen, bei dem das Schiff zuerst eingetragen war.</w:t>
      </w:r>
    </w:p>
    <w:p>
      <w:r>
        <w:rPr>
          <w:color w:val="555555"/>
          <w:sz w:val="17"/>
        </w:rPr>
        <w:t xml:space="preserve">Zitiervorschlag: § 14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