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Schreibversehen, die in einer Eintragung vorkommen, sind von Amts wegen zu berichtigen. Die Berichtigung ist in derselben Weise einzutragen, wie eine Veränderung der fehlerhaften Eintragung einzutragen wäre.</w:t>
      </w:r>
    </w:p>
    <w:p>
      <w:r>
        <w:t xml:space="preserve">(2) Bei noch nicht unterschriebenen Maschineneintragungen können Schreibfehler, die den Sinn der Eintragung nicht verändern, dadurch berichtigt werden, daß die fehlerhaften Worte, Buchstaben oder Zeichen durchgestrichen und - soweit erforderlich - in richtiger Schreibweise wiederholt werden. Die Berichtigung kann entweder unmittelbar bei der Streichung oder unter Verwendung von Einschaltezeichen an geeigneter Stelle außerhalb des Eintragungstextes erfolgen. Die unrichtig geschriebenen Worte, Buchstaben oder Zeichen müssen lesbar bleiben. Die Beachtung dieser Vorschriften ist vor der Unterzeichnung der Eintragung zu überprüfen.</w:t>
      </w:r>
    </w:p>
    <w:p>
      <w:r>
        <w:t xml:space="preserve">(3) Eine versehentlich erfolgte Rötung ist dadurch zu beseitigen, daß jeder rote Strich durch kleine schwarze Striche durchkreuzt wird.</w:t>
      </w:r>
    </w:p>
    <w:p>
      <w:r>
        <w:rPr>
          <w:color w:val="555555"/>
          <w:sz w:val="17"/>
        </w:rPr>
        <w:t xml:space="preserve">Zitiervorschlag: § 11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