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SchRG</w:t>
      </w:r>
    </w:p>
    <w:p>
      <w:r>
        <w:rPr>
          <w:color w:val="555555"/>
          <w:sz w:val="18"/>
        </w:rPr>
        <w:t xml:space="preserve">Gesetz über Rechte an eingetragenen Schiffen und Schiffsbauwerken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den Nießbrauch an einem Schiff sind die für den Nießbrauch an Grundstücken geltenden Vorschriften des bürgerlichen Rechts sinngemäß anzuwenden.</w:t>
      </w:r>
    </w:p>
    <w:p>
      <w:r>
        <w:t xml:space="preserve">(2) Das Rangverhältnis zwischen einem Nießbrauch und den Schiffshypotheken bestimmt sich nach dem Zeitpunkt der Eintragung. Das unter Angabe eines früheren Tages eingetragene Recht hat den Vorrang; Rechte, die unter Angabe desselben Tages eingetragen sind, haben gleichen Rang. § 25 Abs. 2, §§ 26, 27, 65 gelten sinngemäß.</w:t>
      </w:r>
    </w:p>
    <w:p>
      <w:r>
        <w:rPr>
          <w:color w:val="555555"/>
          <w:sz w:val="17"/>
        </w:rPr>
        <w:t xml:space="preserve">Zitiervorschlag: § 82 SchRG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https://recht.nulegal.eu/gesetze/SchRG/82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