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Ein Schiff kann zur Sicherung einer Forderung in der Weise belastet werden, daß der Gläubiger berechtigt ist, wegen einer bestimmten Geldsumme Befriedigung aus dem Schiff zu suchen (Schiffshypothek). Eine Schiffshypothek kann auch für eine zukünftige oder eine bedingte Forderung bestellt werden. Das Recht des Gläubigers aus der Schiffshypothek bestimmt sich nur nach der Forderung.</w:t>
      </w:r>
    </w:p>
    <w:p>
      <w:r>
        <w:t xml:space="preserve">(2) Für die Bestellung der Schiffshypothek gilt § 3 sinngemäß.</w:t>
      </w:r>
    </w:p>
    <w:p>
      <w:r>
        <w:t xml:space="preserve">(3) Der Bruchteil eines Schiffs kann mit einer Schiffshypothek nur belastet werden, wenn er in dem Anteil eines Miteigentümers besteht.</w:t>
      </w:r>
    </w:p>
    <w:p>
      <w:r>
        <w:rPr>
          <w:color w:val="555555"/>
          <w:sz w:val="17"/>
        </w:rPr>
        <w:t xml:space="preserve">Zitiervorschlag: § 8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