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 SchRG</w:t>
      </w:r>
    </w:p>
    <w:p>
      <w:r>
        <w:rPr>
          <w:color w:val="555555"/>
          <w:sz w:val="18"/>
        </w:rPr>
        <w:t xml:space="preserve">Gesetz über Rechte an eingetragenen Schiffen und Schiffsbauwerken</w:t>
      </w:r>
    </w:p>
    <w:p>
      <w:r>
        <w:rPr>
          <w:color w:val="555555"/>
          <w:sz w:val="18"/>
        </w:rPr>
        <w:t xml:space="preserve">Stand: 10.06.2019 (konsolidierte Textfassung, kein amtliches Inkrafttretensdatum)</w:t>
      </w:r>
    </w:p>
    <w:p>
      <w:r>
        <w:t xml:space="preserve">(1) Bei einer Schiffshypothek der in § 73 bezeichneten Art kann für den jeweiligen Gläubiger ein Vertreter mit der Befugnis bestellt werden, mit Wirkung für und gegen jeden späteren Gläubiger bestimmte Verfügungen über die Schiffshypothek zu treffen und den Gläubiger bei der Geltendmachung der Schiffshypothek zu vertreten. Die Bestellung des Vertreters bedarf der Eintragung in das Schiffsregister; wegen seiner Befugnisse kann auf die Eintragungsbewilligung Bezug genommen werden.</w:t>
      </w:r>
    </w:p>
    <w:p>
      <w:r>
        <w:t xml:space="preserve">(2) Ist der Eigentümer berechtigt, von dem Gläubiger eine Verfügung zu verlangen, zu welcher der Vertreter befugt ist, so kann er die Vornahme der Verfügung von dem Vertreter verlangen.</w:t>
      </w:r>
    </w:p>
    <w:p>
      <w:r>
        <w:rPr>
          <w:color w:val="555555"/>
          <w:sz w:val="17"/>
        </w:rPr>
        <w:t xml:space="preserve">Zitiervorschlag: § 74 SchRG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https://recht.nulegal.eu/gesetze/SchRG/74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