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Kann bei einer Gesamtschiffshypothek der Schuldner im Fall des § 59 nur von dem Eigentümer eines der belasteten Schiffe oder von einem Rechtsvorgänger dieses Eigentümers Ersatz verlangen, so geht die Schiffshypothek nur an diesem Schiff auf ihn über. An den übrigen Schiffen erlischt sie; den Eigentümern dieser Schiffe steht die Befugnis nach § 57 Abs. 3 nicht zu.</w:t>
      </w:r>
    </w:p>
    <w:p>
      <w:r>
        <w:t xml:space="preserve">(2) Ist dem Schuldner nur zum Teil Ersatz zu leisten und geht deshalb die Schiffshypothek nur zu einem Teilbetrag auf ihn über, so gilt, soweit die Gesamtschiffshypothek an sämtlichen Schiffen erlischt, für die den Eigentümern nach § 57 Abs. 3 zustehende Befugnis § 68 mit der Maßgabe, daß der auf den Schuldner übergegangene Teilbetrag der Schiffshypothek den nach § 68 Abs. 1 Satz 2 vorweg in Abzug zu bringenden Belastungen hinzuzurechnen ist.</w:t>
      </w:r>
    </w:p>
    <w:p>
      <w:r>
        <w:rPr>
          <w:color w:val="555555"/>
          <w:sz w:val="17"/>
        </w:rPr>
        <w:t xml:space="preserve">Zitiervorschlag: § 70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