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Eigentum an einem Schiff kann dadurch aufgegeben werden, daß der Eigentümer den Verzicht dem Registergericht gegenüber erklärt und der Verzicht in das Schiffsregister eingetragen wird.</w:t>
      </w:r>
    </w:p>
    <w:p>
      <w:r>
        <w:t xml:space="preserve">(2) Das Recht zur Aneignung des herrenlosen Schiffs steht nur dem Bund zu. Der Bund erwirbt das Eigentum dadurch, daß er sich als Eigentümer in das Schiffsregister eintragen läßt.</w:t>
      </w:r>
    </w:p>
    <w:p>
      <w:r>
        <w:rPr>
          <w:color w:val="555555"/>
          <w:sz w:val="17"/>
        </w:rPr>
        <w:t xml:space="preserve">Zitiervorschlag: § 7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