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Erlischt eine Gesamtschiffshypothek, so steht die Befugnis nach § 57 Abs. 3 jedem Eigentümer an seinem Schiff (Anteil) zu dem Teilbetrag zu, der dem Verhältnis des Wertes seines Schiffs (Anteils) zum Wert der sämtlichen Schiffe (Anteile) entspricht, soweit sich nicht aus den zwischen den Eigentümern (Miteigentümern) bestehenden Rechtsverhältnis etwas anderes ergibt. Der Wert wird unter Abzug der Belastungen berechnet, die der Gesamtschiffshypothek im Rang vorgehen.</w:t>
      </w:r>
    </w:p>
    <w:p>
      <w:r>
        <w:t xml:space="preserve">(2) Jeder Eigentümer kann von den übrigen verlangen, daß sie ihm eine den Vorschriften der Schiffsregisterordnung entsprechende Erklärung über die Höhe des ihm zustehenden Teilbetrags aushändigen.</w:t>
      </w:r>
    </w:p>
    <w:p>
      <w:r>
        <w:t xml:space="preserve">(3) Erlischt die Gesamtschiffshypothek nur zum Teil, so hat der dem Gläubiger verbleibende Teil der Schiffshypothek den Vorrang vor einer von einem der Eigentümer auf Grund seiner Befugnis bestellten Schiffshypothek.</w:t>
      </w:r>
    </w:p>
    <w:p>
      <w:r>
        <w:rPr>
          <w:color w:val="555555"/>
          <w:sz w:val="17"/>
        </w:rPr>
        <w:t xml:space="preserve">Zitiervorschlag: § 68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