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Ist der Gläubiger unbekannt, so kann er im Wege des Aufgebotsverfahrens mit seinem Recht ausgeschlossen werden, wenn seit der letzten sich auf die Schiffshypothek beziehenden Eintragung in das Schiffsregister zehn Jahre verstrichen sind und das Recht des Gläubigers nicht innerhalb dieser Frist von dem Eigentümer in einer nach § 212 Abs. 1 Nr. 1 des Bürgerlichen Gesetzbuchs für den Neubeginn der Verjährung geeigneten Weise anerkannt worden ist. Besteht für die Forderung eine nach dem Kalender bestimmte Zahlungszeit, so beginnt die Frist nicht vor dem Ablauf des Zahlungstags.</w:t>
      </w:r>
    </w:p>
    <w:p>
      <w:r>
        <w:t xml:space="preserve">(2) Mit der Rechtskraft des Ausschließungsbeschlusses erlischt die Schiffshypothek. § 57 Abs. 3 gilt auch in diesem Falle.</w:t>
      </w:r>
    </w:p>
    <w:p>
      <w:r>
        <w:rPr>
          <w:color w:val="555555"/>
          <w:sz w:val="17"/>
        </w:rPr>
        <w:t xml:space="preserve">Zitiervorschlag: § 66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