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Schiffshypothek im Schiffsregister mit Unrecht gelöscht, so erlischt sie, wenn der Anspruch des Gläubigers gegen den Eigentümer verjährt ist.</w:t>
      </w:r>
    </w:p>
    <w:p>
      <w:r>
        <w:t xml:space="preserve">(2) Das gleiche gilt, wenn eine kraft Gesetzes entstandene Schiffshypothek nicht in das Schiffsregister eingetragen worden ist.</w:t>
      </w:r>
    </w:p>
    <w:p>
      <w:r>
        <w:rPr>
          <w:color w:val="555555"/>
          <w:sz w:val="17"/>
        </w:rPr>
        <w:t xml:space="preserve">Zitiervorschlag: § 65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