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Schiffshypothek erlischt, wenn sie mit dem Eigentum in derselben Person zusammentrifft; § 57 Abs. 3 gilt sinngemäß.</w:t>
      </w:r>
    </w:p>
    <w:p>
      <w:r>
        <w:t xml:space="preserve">(2) Die Schiffshypothek erlischt nicht, solange die Forderung besteht oder zugunsten eines Dritten als bestehend gilt. Der Eigentümer kann als Gläubiger nicht die Zwangsvollstreckung in das Schiff betreiben; Zinsen aus dem Schiff gebühren ihm nicht.</w:t>
      </w:r>
    </w:p>
    <w:p>
      <w:r>
        <w:rPr>
          <w:color w:val="555555"/>
          <w:sz w:val="17"/>
        </w:rPr>
        <w:t xml:space="preserve">Zitiervorschlag: § 64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