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59 SchRG</w:t>
      </w:r>
    </w:p>
    <w:p>
      <w:r>
        <w:rPr>
          <w:color w:val="555555"/>
          <w:sz w:val="18"/>
        </w:rPr>
        <w:t xml:space="preserve">Gesetz über Rechte an eingetragenen Schiffen und Schiffsbauwerken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Befriedigt der Schuldner den Gläubiger, so geht die Schiffshypothek auf ihn über, soweit er von dem Eigentümer oder einem Rechtsvorgänger des Eigentümers Ersatz verlangen kann; kann er nur zum Teil Ersatz verlangen, so hat die auf ihn übergegangene Schiffshypothek den Vorrang vor einer vom Eigentümer auf Grund der Befugnis nach § 57 Abs. 3 bestellten Schiffshypothek.</w:t>
      </w:r>
    </w:p>
    <w:p>
      <w:r>
        <w:t xml:space="preserve">(2) Befriedigt der Schuldner den Gläubiger nur zum Teil, so hat der dem Gläubiger verbleibende Teil der Schiffshypothek den Vorrang.</w:t>
      </w:r>
    </w:p>
    <w:p>
      <w:r>
        <w:t xml:space="preserve">(3) Der Befriedigung des Gläubigers steht es gleich, wenn sich Forderung und Schuld in einer Person vereinigen.</w:t>
      </w:r>
    </w:p>
    <w:p>
      <w:r>
        <w:rPr>
          <w:color w:val="555555"/>
          <w:sz w:val="17"/>
        </w:rPr>
        <w:t xml:space="preserve">Zitiervorschlag: § 59 SchRG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https://recht.nulegal.eu/gesetze/SchRG/59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