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Die Schiffshypothek erlischt vorbehaltlich der Fälle des § 59 mit der Forderung. Die Schiffshypothek erlischt auch, wenn der Gläubiger aus dem Schiff und soweit er aus den sonstigen Gegenständen, auf die sich die Schiffshypothek erstreckt, im Wege der Zwangsvollstreckung befriedigt wird.</w:t>
      </w:r>
    </w:p>
    <w:p>
      <w:r>
        <w:t xml:space="preserve">(2) Die Schiffshypothek erlischt ferner, wenn der Gläubiger auf sie verzichtet. Der Verzicht ist dem Registergericht oder dem Eigentümer gegenüber zu erklären und bedarf der Eintragung in das Schiffsregister; § 54 Abs. 2, § 56 Abs. 2, 3 gelten sinngemäß.</w:t>
      </w:r>
    </w:p>
    <w:p>
      <w:r>
        <w:t xml:space="preserve">(3) Solange die Schiffshypothek nicht gelöscht ist, kann der Eigentümer im Rang und bis zur Höhe der bisherigen Belastung eine neue Schiffshypothek bestellen; dies gilt nicht im Fall des Absatzes 1 Satz 2. Die Befugnis steht dem jeweiligen Eigentümer des Schiffs zu; sie ist nicht übertragbar. Nach der Beschlagnahme des Schiffs im Zwangsversteigerungsverfahren kann die Befugnis nur mit Zustimmung des betreibenden Gläubigers ausgeübt werden; sie erlischt mit der Erteilung des Zuschlags; bei der Verteilung des Erlöses ist auf sie keine Rücksicht zu nehmen.</w:t>
      </w:r>
    </w:p>
    <w:p>
      <w:r>
        <w:t xml:space="preserve">(4) Erlischt die Schiffshypothek nur zum Teil, so hat der dem Gläubiger verbleibende Teil der Schiffshypothek den Vorrang vor einer von dem Eigentümer auf Grund seiner Befugnis bestellten Schiffshypothek.</w:t>
      </w:r>
    </w:p>
    <w:p>
      <w:r>
        <w:rPr>
          <w:color w:val="555555"/>
          <w:sz w:val="17"/>
        </w:rPr>
        <w:t xml:space="preserve">Zitiervorschlag: § 57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