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SchRG</w:t>
      </w:r>
    </w:p>
    <w:p>
      <w:r>
        <w:rPr>
          <w:color w:val="555555"/>
          <w:sz w:val="18"/>
        </w:rPr>
        <w:t xml:space="preserve">Gesetz über Rechte an eingetragenen Schiffen und Schiffsbauwerken</w:t>
      </w:r>
    </w:p>
    <w:p>
      <w:r>
        <w:rPr>
          <w:color w:val="555555"/>
          <w:sz w:val="18"/>
        </w:rPr>
        <w:t xml:space="preserve">Stand: 10.06.2019 (konsolidierte Textfassung, kein amtliches Inkrafttretensdatum)</w:t>
      </w:r>
    </w:p>
    <w:p>
      <w:r>
        <w:t xml:space="preserve">(1) Zur Aufhebung der Schiffshypothek durch Rechtsgeschäft ist die Erklärung des Gläubigers, daß er die Schiffshypothek aufgebe, die Zustimmung des Eigentümers und die Löschung der Schiffshypothek im Schiffsregister erforderlich. Die Erklärung des Gläubigers ist dem Registergericht oder demgegenüber abzugeben, zu dessen Gunsten sie erfolgt. Die Zustimmung des Eigentümers ist dem Registergericht oder dem Gläubiger gegenüber zu erklären; sie ist unwiderruflich.</w:t>
      </w:r>
    </w:p>
    <w:p>
      <w:r>
        <w:t xml:space="preserve">(2) Vor der Löschung ist der Gläubiger an seine Erklärung nur gebunden, wenn er sie dem Registergericht gegenüber abgegeben oder dem, zu dessen Gunsten sie erfolgt, eine den Vorschriften der Schiffsregisterordnung entsprechende Löschungsbewilligung ausgehändigt hat.</w:t>
      </w:r>
    </w:p>
    <w:p>
      <w:r>
        <w:t xml:space="preserve">(3) Die Erklärung des Gläubigers wird nicht dadurch unwirksam, daß er in der Verfügung beschränkt wird, nachdem die Erklärung für ihn bindend geworden und der Antrag auf Eintragung bei dem Registergericht gestellt worden ist.</w:t>
      </w:r>
    </w:p>
    <w:p>
      <w:r>
        <w:t xml:space="preserve">(4) § 54 Abs. 2 gilt auch hier.</w:t>
      </w:r>
    </w:p>
    <w:p>
      <w:r>
        <w:rPr>
          <w:color w:val="555555"/>
          <w:sz w:val="17"/>
        </w:rPr>
        <w:t xml:space="preserve">Zitiervorschlag: § 56 SchRG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https://recht.nulegal.eu/gesetze/SchRG/56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