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Forderung auf Rückstände von Zinsen oder andere Nebenleistungen oder auf Erstattung von Kosten der Kündigung und Rechtsverfolgung (§ 29) oder von den in § 38 Abs. 2 bezeichneten Beträgen gerichtet ist, bestimmt sich die Übertragung sowie das Rechtsverhältnis zwischen dem Eigentümer und dem neuen Gläubiger nach den für die Übertragung von Forderungen geltenden allgemeinen Vorschriften.</w:t>
      </w:r>
    </w:p>
    <w:p>
      <w:r>
        <w:t xml:space="preserve">(2) Die Vorschriften des § 16 über den öffentlichen Glauben des Schiffsregisters gelten für die in Absatz 1 bezeichneten Ansprüche nicht.</w:t>
      </w:r>
    </w:p>
    <w:p>
      <w:r>
        <w:rPr>
          <w:color w:val="555555"/>
          <w:sz w:val="17"/>
        </w:rPr>
        <w:t xml:space="preserve">Zitiervorschlag: § 53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