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der Übertragung der Forderung geht die Schiffshypothek auf den neuen Gläubiger über.</w:t>
      </w:r>
    </w:p>
    <w:p>
      <w:r>
        <w:t xml:space="preserve">(2) Die Forderung kann nicht ohne die Schiffshypothek, die Schiffshypothek kann nicht ohne die Forderung übertragen werden.</w:t>
      </w:r>
    </w:p>
    <w:p>
      <w:r>
        <w:t xml:space="preserve">(3) Zur Abtretung der Forderung ist die Einigung des bisherigen und des neuen Gläubigers hierüber und die Eintragung in das Schiffsregister erforderlich; § 3 Abs. 2, 3 gilt sinngemäß.</w:t>
      </w:r>
    </w:p>
    <w:p>
      <w:r>
        <w:rPr>
          <w:color w:val="555555"/>
          <w:sz w:val="17"/>
        </w:rPr>
        <w:t xml:space="preserve">Zitiervorschlag: § 51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