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Verlangt der Gläubiger Befriedigung aus dem Schiff, so ist jeder, der Gefahr läuft, durch die Zwangsvollstreckung ein Recht an dem Schiff oder an den Gegenständen zu verlieren, auf die sich die Schiffshypothek erstreckt, berechtigt, den Gläubiger zu befriedigen, und zwar auch durch Hinterlegung oder Aufrechnung. Das gleiche Recht steht dem Besitzer des Schiffs oder der in § 31 genannten Sachen zu, wenn er Gefahr läuft, durch die Zwangsvollstreckung den Besitz zu verlieren.</w:t>
      </w:r>
    </w:p>
    <w:p>
      <w:r>
        <w:t xml:space="preserve">(2) Soweit der Dritte den Gläubiger befriedigt, geht die Forderung auf ihn über. Der Übergang kann nicht zum Nachteil des Gläubigers geltend gemacht werden. Einwendungen des Schuldners aus einem zwischen ihm und dem Dritten bestehenden Rechtsverhältnis bleiben unberührt.</w:t>
      </w:r>
    </w:p>
    <w:p>
      <w:r>
        <w:t xml:space="preserve">(3) § 45 gilt sinngemäß.</w:t>
      </w:r>
    </w:p>
    <w:p>
      <w:r>
        <w:rPr>
          <w:color w:val="555555"/>
          <w:sz w:val="17"/>
        </w:rPr>
        <w:t xml:space="preserve">Zitiervorschlag: § 50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