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SchRG</w:t>
      </w:r>
    </w:p>
    <w:p>
      <w:r>
        <w:rPr>
          <w:color w:val="555555"/>
          <w:sz w:val="18"/>
        </w:rPr>
        <w:t xml:space="preserve">Gesetz über Rechte an eingetragenen Schiffen und Schiffsbauwerken</w:t>
      </w:r>
    </w:p>
    <w:p>
      <w:r>
        <w:rPr>
          <w:color w:val="555555"/>
          <w:sz w:val="18"/>
        </w:rPr>
        <w:t xml:space="preserve">Stand: 10.06.2019 (konsolidierte Textfassung, kein amtliches Inkrafttretensdatum)</w:t>
      </w:r>
    </w:p>
    <w:p>
      <w:r>
        <w:t xml:space="preserve">Wer als Eigentümer eines Schiffs im Schiffsregister eingetragen ist, ohne daß er das Eigentum erlangt hat, erwirbt das Eigentum, wenn die Eintragung zehn Jahre bestanden und er während dieser Zeit das Schiff in Eigenbesitz gehabt hat. Die zehnjährige Frist wird in derselben Weise berechnet wie die Frist für die Ersitzung einer beweglichen Sache. Der Lauf der Frist ist gehemmt, solange ein Widerspruch gegen die Richtigkeit der Eintragung im Schiffsregister eingetragen ist.</w:t>
      </w:r>
    </w:p>
    <w:p>
      <w:r>
        <w:rPr>
          <w:color w:val="555555"/>
          <w:sz w:val="17"/>
        </w:rPr>
        <w:t xml:space="preserve">Zitiervorschlag: § 5 SchRG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