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Gläubiger kann seine Befriedigung aus dem Schiff und den Gegenständen, auf die sich die Schiffshypothek erstreckt, nur im Wege der Zwangsvollstreckung suchen.</w:t>
      </w:r>
    </w:p>
    <w:p>
      <w:r>
        <w:t xml:space="preserve">(2) Bei einer Gesamtschiffshypothek kann der Gläubiger die Befriedigung aus jedem der Schiffe ganz oder zu einem Teil suchen.</w:t>
      </w:r>
    </w:p>
    <w:p>
      <w:r>
        <w:rPr>
          <w:color w:val="555555"/>
          <w:sz w:val="17"/>
        </w:rPr>
        <w:t xml:space="preserve">Zitiervorschlag: § 47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